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B5" w:rsidRPr="00394DB5" w:rsidRDefault="00394DB5" w:rsidP="00394DB5">
      <w:pPr>
        <w:pStyle w:val="Heading1"/>
        <w:rPr>
          <w:smallCaps/>
          <w:sz w:val="24"/>
          <w:u w:val="single"/>
        </w:rPr>
      </w:pPr>
      <w:r w:rsidRPr="00394DB5">
        <w:rPr>
          <w:smallCaps/>
          <w:sz w:val="24"/>
          <w:u w:val="single"/>
        </w:rPr>
        <w:t xml:space="preserve">Setting </w:t>
      </w:r>
      <w:r w:rsidRPr="00394DB5">
        <w:rPr>
          <w:smallCaps/>
          <w:sz w:val="24"/>
          <w:u w:val="single"/>
        </w:rPr>
        <w:t>Up</w:t>
      </w:r>
      <w:r w:rsidRPr="00394DB5">
        <w:rPr>
          <w:smallCaps/>
          <w:sz w:val="24"/>
          <w:u w:val="single"/>
        </w:rPr>
        <w:t xml:space="preserve"> </w:t>
      </w:r>
      <w:r w:rsidRPr="00394DB5">
        <w:rPr>
          <w:smallCaps/>
          <w:sz w:val="24"/>
          <w:u w:val="single"/>
        </w:rPr>
        <w:t>A</w:t>
      </w:r>
      <w:r w:rsidRPr="00394DB5">
        <w:rPr>
          <w:smallCaps/>
          <w:sz w:val="24"/>
          <w:u w:val="single"/>
        </w:rPr>
        <w:t xml:space="preserve"> Turnitin Assignment Submission </w:t>
      </w:r>
      <w:r w:rsidRPr="00394DB5">
        <w:rPr>
          <w:smallCaps/>
          <w:sz w:val="24"/>
          <w:u w:val="single"/>
        </w:rPr>
        <w:t>A</w:t>
      </w:r>
      <w:r w:rsidRPr="00394DB5">
        <w:rPr>
          <w:smallCaps/>
          <w:sz w:val="24"/>
          <w:u w:val="single"/>
        </w:rPr>
        <w:t>rea</w:t>
      </w:r>
    </w:p>
    <w:p w:rsidR="005D6657" w:rsidRDefault="005D6657" w:rsidP="005D6657">
      <w:pPr>
        <w:spacing w:line="240" w:lineRule="auto"/>
        <w:rPr>
          <w:rFonts w:ascii="Arial" w:hAnsi="Arial" w:cs="Arial"/>
        </w:rPr>
      </w:pPr>
      <w:r w:rsidRPr="00EB7CF3">
        <w:rPr>
          <w:rFonts w:ascii="Arial" w:hAnsi="Arial" w:cs="Arial"/>
        </w:rPr>
        <w:t xml:space="preserve">Almost all text based work will be submitted in one of two ways. It will generally be through Turnitin on NILE, but you may choose to use the Assignment Tool if your assignment includes </w:t>
      </w:r>
      <w:r>
        <w:rPr>
          <w:rFonts w:ascii="Arial" w:hAnsi="Arial" w:cs="Arial"/>
        </w:rPr>
        <w:t>file formats like .</w:t>
      </w:r>
      <w:proofErr w:type="spellStart"/>
      <w:r>
        <w:rPr>
          <w:rFonts w:ascii="Arial" w:hAnsi="Arial" w:cs="Arial"/>
        </w:rPr>
        <w:t>ppt</w:t>
      </w:r>
      <w:proofErr w:type="spellEnd"/>
      <w:r>
        <w:rPr>
          <w:rFonts w:ascii="Arial" w:hAnsi="Arial" w:cs="Arial"/>
        </w:rPr>
        <w:t>, .</w:t>
      </w:r>
      <w:proofErr w:type="spellStart"/>
      <w:r>
        <w:rPr>
          <w:rFonts w:ascii="Arial" w:hAnsi="Arial" w:cs="Arial"/>
        </w:rPr>
        <w:t>xls</w:t>
      </w:r>
      <w:proofErr w:type="spellEnd"/>
      <w:r>
        <w:rPr>
          <w:rFonts w:ascii="Arial" w:hAnsi="Arial" w:cs="Arial"/>
        </w:rPr>
        <w:t>,</w:t>
      </w:r>
      <w:r w:rsidRPr="00EB7CF3">
        <w:rPr>
          <w:rFonts w:ascii="Arial" w:hAnsi="Arial" w:cs="Arial"/>
        </w:rPr>
        <w:t xml:space="preserve"> or involves group work. Both systems are straightforward to set up and use.</w:t>
      </w:r>
    </w:p>
    <w:p w:rsidR="005D6657" w:rsidRPr="00EB7CF3" w:rsidRDefault="005D6657" w:rsidP="005D6657">
      <w:pPr>
        <w:spacing w:line="240" w:lineRule="auto"/>
        <w:rPr>
          <w:rFonts w:ascii="Arial" w:hAnsi="Arial" w:cs="Arial"/>
          <w:b/>
        </w:rPr>
      </w:pPr>
      <w:r>
        <w:rPr>
          <w:rFonts w:ascii="Arial" w:hAnsi="Arial" w:cs="Arial"/>
        </w:rPr>
        <w:t xml:space="preserve">See the </w:t>
      </w:r>
      <w:hyperlink r:id="rId5" w:history="1">
        <w:r w:rsidRPr="005D6657">
          <w:rPr>
            <w:rStyle w:val="Hyperlink"/>
            <w:rFonts w:ascii="Arial" w:hAnsi="Arial" w:cs="Arial"/>
          </w:rPr>
          <w:t>Turnitin user guide</w:t>
        </w:r>
      </w:hyperlink>
      <w:r>
        <w:rPr>
          <w:rFonts w:ascii="Arial" w:hAnsi="Arial" w:cs="Arial"/>
        </w:rPr>
        <w:t xml:space="preserve"> developed by the Learning Technology Team for more detailed guidance.</w:t>
      </w:r>
    </w:p>
    <w:p w:rsidR="005D6657" w:rsidRPr="00EB7CF3" w:rsidRDefault="005D6657" w:rsidP="005D6657">
      <w:pPr>
        <w:pStyle w:val="Default"/>
        <w:rPr>
          <w:sz w:val="22"/>
          <w:szCs w:val="22"/>
        </w:rPr>
      </w:pPr>
    </w:p>
    <w:tbl>
      <w:tblPr>
        <w:tblStyle w:val="TableSimple2"/>
        <w:tblW w:w="9243" w:type="dxa"/>
        <w:tblBorders>
          <w:insideV w:val="single" w:sz="4" w:space="0" w:color="auto"/>
        </w:tblBorders>
        <w:tblCellMar>
          <w:top w:w="108" w:type="dxa"/>
          <w:left w:w="142" w:type="dxa"/>
          <w:bottom w:w="108" w:type="dxa"/>
        </w:tblCellMar>
        <w:tblLook w:val="04A0"/>
      </w:tblPr>
      <w:tblGrid>
        <w:gridCol w:w="3963"/>
        <w:gridCol w:w="5280"/>
      </w:tblGrid>
      <w:tr w:rsidR="005D6657" w:rsidRPr="00EB7CF3" w:rsidTr="005D6657">
        <w:trPr>
          <w:cnfStyle w:val="100000000000"/>
          <w:cantSplit/>
          <w:trHeight w:val="441"/>
        </w:trPr>
        <w:tc>
          <w:tcPr>
            <w:cnfStyle w:val="001000000000"/>
            <w:tcW w:w="3963" w:type="dxa"/>
            <w:tcBorders>
              <w:bottom w:val="single" w:sz="4" w:space="0" w:color="auto"/>
              <w:right w:val="none" w:sz="0" w:space="0" w:color="auto"/>
            </w:tcBorders>
          </w:tcPr>
          <w:p w:rsidR="005D6657" w:rsidRPr="00C27D13" w:rsidRDefault="005D6657" w:rsidP="00C575C7">
            <w:pPr>
              <w:pStyle w:val="Default"/>
              <w:jc w:val="center"/>
              <w:rPr>
                <w:sz w:val="22"/>
                <w:szCs w:val="22"/>
              </w:rPr>
            </w:pPr>
            <w:r>
              <w:rPr>
                <w:sz w:val="22"/>
                <w:szCs w:val="22"/>
              </w:rPr>
              <w:t>H</w:t>
            </w:r>
            <w:r w:rsidRPr="00C27D13">
              <w:rPr>
                <w:sz w:val="22"/>
                <w:szCs w:val="22"/>
              </w:rPr>
              <w:t>ow</w:t>
            </w:r>
          </w:p>
        </w:tc>
        <w:tc>
          <w:tcPr>
            <w:tcW w:w="5280" w:type="dxa"/>
            <w:tcBorders>
              <w:bottom w:val="single" w:sz="4" w:space="0" w:color="auto"/>
            </w:tcBorders>
          </w:tcPr>
          <w:p w:rsidR="005D6657" w:rsidRPr="009250E5" w:rsidRDefault="005D6657" w:rsidP="00C575C7">
            <w:pPr>
              <w:pStyle w:val="Default"/>
              <w:jc w:val="center"/>
              <w:cnfStyle w:val="100000000000"/>
              <w:rPr>
                <w:sz w:val="22"/>
                <w:szCs w:val="22"/>
              </w:rPr>
            </w:pPr>
            <w:r w:rsidRPr="009250E5">
              <w:rPr>
                <w:sz w:val="22"/>
                <w:szCs w:val="22"/>
              </w:rPr>
              <w:t>Why</w:t>
            </w:r>
          </w:p>
        </w:tc>
      </w:tr>
      <w:tr w:rsidR="005D6657" w:rsidRPr="00EB7CF3" w:rsidTr="005D6657">
        <w:trPr>
          <w:cantSplit/>
          <w:trHeight w:val="65"/>
        </w:trPr>
        <w:tc>
          <w:tcPr>
            <w:cnfStyle w:val="001000000000"/>
            <w:tcW w:w="3963" w:type="dxa"/>
            <w:tcBorders>
              <w:top w:val="single" w:sz="4" w:space="0" w:color="auto"/>
              <w:right w:val="none" w:sz="0" w:space="0" w:color="auto"/>
            </w:tcBorders>
          </w:tcPr>
          <w:p w:rsidR="005D6657" w:rsidRPr="00C27D13" w:rsidRDefault="005D6657" w:rsidP="005D6657">
            <w:pPr>
              <w:pStyle w:val="Default"/>
              <w:numPr>
                <w:ilvl w:val="0"/>
                <w:numId w:val="5"/>
              </w:numPr>
              <w:ind w:hanging="578"/>
              <w:rPr>
                <w:b w:val="0"/>
                <w:sz w:val="22"/>
                <w:szCs w:val="22"/>
              </w:rPr>
            </w:pPr>
            <w:r w:rsidRPr="00C27D13">
              <w:rPr>
                <w:b w:val="0"/>
                <w:sz w:val="22"/>
                <w:szCs w:val="22"/>
              </w:rPr>
              <w:t>You need instructor access to the module</w:t>
            </w:r>
          </w:p>
        </w:tc>
        <w:tc>
          <w:tcPr>
            <w:tcW w:w="5280" w:type="dxa"/>
            <w:tcBorders>
              <w:top w:val="single" w:sz="4" w:space="0" w:color="auto"/>
            </w:tcBorders>
          </w:tcPr>
          <w:p w:rsidR="005D6657" w:rsidRPr="00EB7CF3" w:rsidRDefault="005D6657" w:rsidP="00C575C7">
            <w:pPr>
              <w:pStyle w:val="Default"/>
              <w:cnfStyle w:val="000000000000"/>
              <w:rPr>
                <w:sz w:val="22"/>
                <w:szCs w:val="22"/>
              </w:rPr>
            </w:pPr>
            <w:r w:rsidRPr="00EB7CF3">
              <w:rPr>
                <w:sz w:val="22"/>
                <w:szCs w:val="22"/>
              </w:rPr>
              <w:t>Module tutors will take responsibility for setting up the submission areas on their own sites</w:t>
            </w:r>
          </w:p>
        </w:tc>
      </w:tr>
      <w:tr w:rsidR="005D6657" w:rsidRPr="00EB7CF3" w:rsidTr="005D6657">
        <w:trPr>
          <w:cantSplit/>
          <w:trHeight w:val="65"/>
        </w:trPr>
        <w:tc>
          <w:tcPr>
            <w:cnfStyle w:val="001000000000"/>
            <w:tcW w:w="3963" w:type="dxa"/>
            <w:tcBorders>
              <w:right w:val="none" w:sz="0" w:space="0" w:color="auto"/>
            </w:tcBorders>
          </w:tcPr>
          <w:p w:rsidR="005D6657" w:rsidRPr="00C27D13" w:rsidRDefault="005D6657" w:rsidP="005D6657">
            <w:pPr>
              <w:pStyle w:val="Default"/>
              <w:numPr>
                <w:ilvl w:val="0"/>
                <w:numId w:val="5"/>
              </w:numPr>
              <w:ind w:hanging="578"/>
              <w:rPr>
                <w:b w:val="0"/>
                <w:sz w:val="22"/>
                <w:szCs w:val="22"/>
              </w:rPr>
            </w:pPr>
            <w:r w:rsidRPr="00C27D13">
              <w:rPr>
                <w:b w:val="0"/>
                <w:sz w:val="22"/>
                <w:szCs w:val="22"/>
              </w:rPr>
              <w:t xml:space="preserve">Click the </w:t>
            </w:r>
            <w:r w:rsidRPr="00C27D13">
              <w:rPr>
                <w:sz w:val="22"/>
                <w:szCs w:val="22"/>
              </w:rPr>
              <w:t>Submit your work</w:t>
            </w:r>
            <w:r w:rsidRPr="00C27D13">
              <w:rPr>
                <w:b w:val="0"/>
                <w:sz w:val="22"/>
                <w:szCs w:val="22"/>
              </w:rPr>
              <w:t xml:space="preserve"> button from the left menu</w:t>
            </w:r>
          </w:p>
        </w:tc>
        <w:tc>
          <w:tcPr>
            <w:tcW w:w="5280" w:type="dxa"/>
          </w:tcPr>
          <w:p w:rsidR="005D6657" w:rsidRPr="00EB7CF3" w:rsidRDefault="005D6657" w:rsidP="00C575C7">
            <w:pPr>
              <w:pStyle w:val="Default"/>
              <w:cnfStyle w:val="000000000000"/>
              <w:rPr>
                <w:sz w:val="22"/>
                <w:szCs w:val="22"/>
              </w:rPr>
            </w:pPr>
          </w:p>
        </w:tc>
      </w:tr>
      <w:tr w:rsidR="005D6657" w:rsidRPr="00EB7CF3" w:rsidTr="005D6657">
        <w:trPr>
          <w:cantSplit/>
          <w:trHeight w:val="65"/>
        </w:trPr>
        <w:tc>
          <w:tcPr>
            <w:cnfStyle w:val="001000000000"/>
            <w:tcW w:w="3963" w:type="dxa"/>
            <w:tcBorders>
              <w:right w:val="none" w:sz="0" w:space="0" w:color="auto"/>
            </w:tcBorders>
          </w:tcPr>
          <w:p w:rsidR="005D6657" w:rsidRPr="00C27D13" w:rsidRDefault="005D6657" w:rsidP="005D6657">
            <w:pPr>
              <w:pStyle w:val="Default"/>
              <w:numPr>
                <w:ilvl w:val="0"/>
                <w:numId w:val="5"/>
              </w:numPr>
              <w:ind w:hanging="578"/>
              <w:rPr>
                <w:b w:val="0"/>
                <w:sz w:val="22"/>
                <w:szCs w:val="22"/>
              </w:rPr>
            </w:pPr>
            <w:r w:rsidRPr="00C27D13">
              <w:rPr>
                <w:b w:val="0"/>
                <w:sz w:val="22"/>
                <w:szCs w:val="22"/>
              </w:rPr>
              <w:t xml:space="preserve">Click on the </w:t>
            </w:r>
            <w:r w:rsidRPr="00C27D13">
              <w:rPr>
                <w:sz w:val="22"/>
                <w:szCs w:val="22"/>
              </w:rPr>
              <w:t>Evaluate</w:t>
            </w:r>
            <w:r w:rsidRPr="00C27D13">
              <w:rPr>
                <w:b w:val="0"/>
                <w:sz w:val="22"/>
                <w:szCs w:val="22"/>
              </w:rPr>
              <w:t xml:space="preserve"> button from the top of the page</w:t>
            </w:r>
          </w:p>
        </w:tc>
        <w:tc>
          <w:tcPr>
            <w:tcW w:w="5280" w:type="dxa"/>
          </w:tcPr>
          <w:p w:rsidR="005D6657" w:rsidRPr="00EB7CF3" w:rsidRDefault="005D6657" w:rsidP="00C575C7">
            <w:pPr>
              <w:pStyle w:val="Default"/>
              <w:cnfStyle w:val="000000000000"/>
              <w:rPr>
                <w:b/>
                <w:sz w:val="22"/>
                <w:szCs w:val="22"/>
              </w:rPr>
            </w:pPr>
          </w:p>
        </w:tc>
      </w:tr>
      <w:tr w:rsidR="005D6657" w:rsidRPr="00EB7CF3" w:rsidTr="005D6657">
        <w:trPr>
          <w:cantSplit/>
          <w:trHeight w:val="265"/>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Select </w:t>
            </w:r>
            <w:proofErr w:type="spellStart"/>
            <w:r w:rsidRPr="00C27D13">
              <w:rPr>
                <w:rFonts w:ascii="Arial" w:hAnsi="Arial" w:cs="Arial"/>
              </w:rPr>
              <w:t>TurnitinUK</w:t>
            </w:r>
            <w:proofErr w:type="spellEnd"/>
            <w:r w:rsidRPr="00C27D13">
              <w:rPr>
                <w:rFonts w:ascii="Arial" w:hAnsi="Arial" w:cs="Arial"/>
              </w:rPr>
              <w:t xml:space="preserve"> assignment</w:t>
            </w:r>
          </w:p>
        </w:tc>
        <w:tc>
          <w:tcPr>
            <w:tcW w:w="5280" w:type="dxa"/>
          </w:tcPr>
          <w:p w:rsidR="005D6657" w:rsidRPr="00EB7CF3" w:rsidRDefault="005D6657" w:rsidP="00C575C7">
            <w:pPr>
              <w:pStyle w:val="ListParagraph"/>
              <w:ind w:left="0"/>
              <w:cnfStyle w:val="000000000000"/>
              <w:rPr>
                <w:rFonts w:ascii="Arial" w:hAnsi="Arial" w:cs="Arial"/>
              </w:rPr>
            </w:pPr>
          </w:p>
        </w:tc>
      </w:tr>
      <w:tr w:rsidR="005D6657" w:rsidRPr="00EB7CF3" w:rsidTr="005D6657">
        <w:trPr>
          <w:cantSplit/>
          <w:trHeight w:val="259"/>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Select </w:t>
            </w:r>
            <w:r w:rsidRPr="00C27D13">
              <w:rPr>
                <w:rFonts w:ascii="Arial" w:hAnsi="Arial" w:cs="Arial"/>
              </w:rPr>
              <w:t>Paper assignment</w:t>
            </w:r>
            <w:r w:rsidRPr="00C27D13">
              <w:rPr>
                <w:rFonts w:ascii="Arial" w:hAnsi="Arial" w:cs="Arial"/>
                <w:b w:val="0"/>
              </w:rPr>
              <w:t xml:space="preserve"> then click </w:t>
            </w:r>
            <w:r w:rsidRPr="00C27D13">
              <w:rPr>
                <w:rFonts w:ascii="Arial" w:hAnsi="Arial" w:cs="Arial"/>
              </w:rPr>
              <w:t>Next Step</w:t>
            </w:r>
          </w:p>
        </w:tc>
        <w:tc>
          <w:tcPr>
            <w:tcW w:w="5280" w:type="dxa"/>
          </w:tcPr>
          <w:p w:rsidR="005D6657" w:rsidRPr="00EB7CF3" w:rsidRDefault="005D6657" w:rsidP="00C575C7">
            <w:pPr>
              <w:pStyle w:val="ListParagraph"/>
              <w:ind w:left="0"/>
              <w:cnfStyle w:val="000000000000"/>
              <w:rPr>
                <w:rFonts w:ascii="Arial" w:hAnsi="Arial" w:cs="Arial"/>
              </w:rPr>
            </w:pPr>
          </w:p>
        </w:tc>
      </w:tr>
      <w:tr w:rsidR="005D6657" w:rsidRPr="00EB7CF3" w:rsidTr="005D6657">
        <w:trPr>
          <w:cantSplit/>
          <w:trHeight w:val="788"/>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The title of your assignment </w:t>
            </w:r>
            <w:r w:rsidRPr="00C27D13">
              <w:rPr>
                <w:rFonts w:ascii="Arial" w:hAnsi="Arial" w:cs="Arial"/>
                <w:b w:val="0"/>
                <w:i/>
              </w:rPr>
              <w:t xml:space="preserve">MUST </w:t>
            </w:r>
            <w:r w:rsidRPr="00C27D13">
              <w:rPr>
                <w:rFonts w:ascii="Arial" w:hAnsi="Arial" w:cs="Arial"/>
                <w:b w:val="0"/>
              </w:rPr>
              <w:t xml:space="preserve">display the Assessment code </w:t>
            </w:r>
            <w:r w:rsidRPr="00C27D13">
              <w:rPr>
                <w:rFonts w:ascii="Arial" w:hAnsi="Arial" w:cs="Arial"/>
                <w:b w:val="0"/>
                <w:i/>
              </w:rPr>
              <w:t>first</w:t>
            </w:r>
            <w:r w:rsidRPr="00C27D13">
              <w:rPr>
                <w:rFonts w:ascii="Arial" w:hAnsi="Arial" w:cs="Arial"/>
                <w:b w:val="0"/>
              </w:rPr>
              <w:t xml:space="preserve"> (e.g. ES1, AS1). You can then enter a title which your students will recognise.</w:t>
            </w:r>
          </w:p>
        </w:tc>
        <w:tc>
          <w:tcPr>
            <w:tcW w:w="5280" w:type="dxa"/>
          </w:tcPr>
          <w:p w:rsidR="005D6657" w:rsidRDefault="005D6657" w:rsidP="00C575C7">
            <w:pPr>
              <w:pStyle w:val="ListParagraph"/>
              <w:ind w:left="0"/>
              <w:cnfStyle w:val="000000000000"/>
              <w:rPr>
                <w:rFonts w:ascii="Arial" w:hAnsi="Arial" w:cs="Arial"/>
              </w:rPr>
            </w:pPr>
            <w:r w:rsidRPr="00EB7CF3">
              <w:rPr>
                <w:rFonts w:ascii="Arial" w:hAnsi="Arial" w:cs="Arial"/>
              </w:rPr>
              <w:t xml:space="preserve">This is </w:t>
            </w:r>
            <w:r w:rsidRPr="00EB7CF3">
              <w:rPr>
                <w:rFonts w:ascii="Arial" w:hAnsi="Arial" w:cs="Arial"/>
                <w:b/>
                <w:i/>
              </w:rPr>
              <w:t>essential</w:t>
            </w:r>
            <w:r w:rsidRPr="00EB7CF3">
              <w:rPr>
                <w:rFonts w:ascii="Arial" w:hAnsi="Arial" w:cs="Arial"/>
                <w:b/>
              </w:rPr>
              <w:t xml:space="preserve">. </w:t>
            </w:r>
            <w:r w:rsidRPr="00EB7CF3">
              <w:rPr>
                <w:rFonts w:ascii="Arial" w:hAnsi="Arial" w:cs="Arial"/>
              </w:rPr>
              <w:t>If you are unsure about codes ask your SAT</w:t>
            </w:r>
          </w:p>
          <w:p w:rsidR="005D6657" w:rsidRDefault="005D6657" w:rsidP="00C575C7">
            <w:pPr>
              <w:pStyle w:val="ListParagraph"/>
              <w:ind w:left="0"/>
              <w:cnfStyle w:val="000000000000"/>
              <w:rPr>
                <w:rFonts w:ascii="Arial" w:hAnsi="Arial" w:cs="Arial"/>
              </w:rPr>
            </w:pPr>
          </w:p>
          <w:p w:rsidR="005D6657" w:rsidRPr="00EB7CF3" w:rsidRDefault="005D6657" w:rsidP="00C575C7">
            <w:pPr>
              <w:pStyle w:val="ListParagraph"/>
              <w:ind w:left="0"/>
              <w:cnfStyle w:val="000000000000"/>
              <w:rPr>
                <w:rFonts w:ascii="Arial" w:hAnsi="Arial" w:cs="Arial"/>
              </w:rPr>
            </w:pPr>
            <w:r>
              <w:rPr>
                <w:rFonts w:ascii="Arial" w:hAnsi="Arial" w:cs="Arial"/>
              </w:rPr>
              <w:t>Example: “ES1 – Assignment 1”</w:t>
            </w:r>
          </w:p>
        </w:tc>
      </w:tr>
      <w:tr w:rsidR="005D6657" w:rsidRPr="00EB7CF3" w:rsidTr="005D6657">
        <w:trPr>
          <w:cantSplit/>
          <w:trHeight w:val="259"/>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Enter </w:t>
            </w:r>
            <w:r w:rsidRPr="00C27D13">
              <w:rPr>
                <w:rFonts w:ascii="Arial" w:hAnsi="Arial" w:cs="Arial"/>
              </w:rPr>
              <w:t>100</w:t>
            </w:r>
            <w:r w:rsidRPr="00C27D13">
              <w:rPr>
                <w:rFonts w:ascii="Arial" w:hAnsi="Arial" w:cs="Arial"/>
                <w:b w:val="0"/>
              </w:rPr>
              <w:t xml:space="preserve"> in the point value box</w:t>
            </w:r>
          </w:p>
        </w:tc>
        <w:tc>
          <w:tcPr>
            <w:tcW w:w="5280" w:type="dxa"/>
          </w:tcPr>
          <w:p w:rsidR="005D6657" w:rsidRPr="00EB7CF3" w:rsidRDefault="005D6657" w:rsidP="00C575C7">
            <w:pPr>
              <w:pStyle w:val="ListParagraph"/>
              <w:ind w:left="0"/>
              <w:cnfStyle w:val="000000000000"/>
              <w:rPr>
                <w:rFonts w:ascii="Arial" w:hAnsi="Arial" w:cs="Arial"/>
              </w:rPr>
            </w:pPr>
            <w:r w:rsidRPr="00EB7CF3">
              <w:rPr>
                <w:rFonts w:ascii="Arial" w:hAnsi="Arial" w:cs="Arial"/>
              </w:rPr>
              <w:t>This will ensure the grading schema is correct</w:t>
            </w:r>
          </w:p>
        </w:tc>
      </w:tr>
      <w:tr w:rsidR="005D6657" w:rsidRPr="00EB7CF3" w:rsidTr="005D6657">
        <w:trPr>
          <w:cantSplit/>
          <w:trHeight w:val="523"/>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Choose the start of the academic year from the calendar and time options to specify </w:t>
            </w:r>
            <w:r w:rsidRPr="00C27D13">
              <w:rPr>
                <w:rFonts w:ascii="Arial" w:hAnsi="Arial" w:cs="Arial"/>
              </w:rPr>
              <w:t>start date</w:t>
            </w:r>
          </w:p>
        </w:tc>
        <w:tc>
          <w:tcPr>
            <w:tcW w:w="5280" w:type="dxa"/>
          </w:tcPr>
          <w:p w:rsidR="005D6657" w:rsidRPr="00EB7CF3" w:rsidRDefault="005D6657" w:rsidP="00C575C7">
            <w:pPr>
              <w:pStyle w:val="ListParagraph"/>
              <w:ind w:left="0"/>
              <w:cnfStyle w:val="000000000000"/>
              <w:rPr>
                <w:rFonts w:ascii="Arial" w:hAnsi="Arial" w:cs="Arial"/>
              </w:rPr>
            </w:pPr>
            <w:r>
              <w:rPr>
                <w:rFonts w:ascii="Arial" w:hAnsi="Arial" w:cs="Arial"/>
              </w:rPr>
              <w:t>This will enable students to submit early. It is the same as putting an essay title in a module guide</w:t>
            </w:r>
          </w:p>
        </w:tc>
      </w:tr>
      <w:tr w:rsidR="005D6657" w:rsidRPr="00EB7CF3" w:rsidTr="005D6657">
        <w:trPr>
          <w:cantSplit/>
          <w:trHeight w:val="653"/>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Specify the date and time (midnight) for </w:t>
            </w:r>
            <w:r w:rsidRPr="00C27D13">
              <w:rPr>
                <w:rFonts w:ascii="Arial" w:hAnsi="Arial" w:cs="Arial"/>
              </w:rPr>
              <w:t>due date</w:t>
            </w:r>
            <w:r w:rsidRPr="00C27D13">
              <w:rPr>
                <w:rFonts w:ascii="Arial" w:hAnsi="Arial" w:cs="Arial"/>
                <w:b w:val="0"/>
              </w:rPr>
              <w:t xml:space="preserve"> (this must correspond to the date advertised to the students in their module guide)</w:t>
            </w:r>
          </w:p>
        </w:tc>
        <w:tc>
          <w:tcPr>
            <w:tcW w:w="5280" w:type="dxa"/>
          </w:tcPr>
          <w:p w:rsidR="005D6657" w:rsidRPr="00EB7CF3" w:rsidRDefault="005D6657" w:rsidP="00C575C7">
            <w:pPr>
              <w:pStyle w:val="ListParagraph"/>
              <w:ind w:left="0"/>
              <w:cnfStyle w:val="000000000000"/>
              <w:rPr>
                <w:rFonts w:ascii="Arial" w:hAnsi="Arial" w:cs="Arial"/>
              </w:rPr>
            </w:pPr>
            <w:r>
              <w:rPr>
                <w:rFonts w:ascii="Arial" w:hAnsi="Arial" w:cs="Arial"/>
              </w:rPr>
              <w:t>All e-submitted work will have a deadline of midnight</w:t>
            </w:r>
          </w:p>
        </w:tc>
      </w:tr>
      <w:tr w:rsidR="005D6657" w:rsidRPr="00EB7CF3" w:rsidTr="005D6657">
        <w:trPr>
          <w:cantSplit/>
          <w:trHeight w:val="484"/>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lastRenderedPageBreak/>
              <w:t xml:space="preserve">Specify a </w:t>
            </w:r>
            <w:r w:rsidRPr="00C27D13">
              <w:rPr>
                <w:rFonts w:ascii="Arial" w:hAnsi="Arial" w:cs="Arial"/>
              </w:rPr>
              <w:t>post date</w:t>
            </w:r>
            <w:r w:rsidRPr="00C27D13">
              <w:rPr>
                <w:rFonts w:ascii="Arial" w:hAnsi="Arial" w:cs="Arial"/>
                <w:b w:val="0"/>
              </w:rPr>
              <w:t>. This must be specified in the module guide</w:t>
            </w:r>
          </w:p>
        </w:tc>
        <w:tc>
          <w:tcPr>
            <w:tcW w:w="5280" w:type="dxa"/>
          </w:tcPr>
          <w:p w:rsidR="005D6657" w:rsidRPr="00EB7CF3" w:rsidRDefault="005D6657" w:rsidP="00C575C7">
            <w:pPr>
              <w:pStyle w:val="ListParagraph"/>
              <w:ind w:left="0"/>
              <w:cnfStyle w:val="000000000000"/>
              <w:rPr>
                <w:rFonts w:ascii="Arial" w:hAnsi="Arial" w:cs="Arial"/>
              </w:rPr>
            </w:pPr>
            <w:r>
              <w:rPr>
                <w:rFonts w:ascii="Arial" w:hAnsi="Arial" w:cs="Arial"/>
              </w:rPr>
              <w:t>This post date is the date when the grades and feedback that you have written becomes visible to all students. It is the e-version of giving work back</w:t>
            </w:r>
          </w:p>
        </w:tc>
      </w:tr>
      <w:tr w:rsidR="005D6657" w:rsidRPr="00EB7CF3" w:rsidTr="005D6657">
        <w:trPr>
          <w:cantSplit/>
          <w:trHeight w:val="219"/>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Click </w:t>
            </w:r>
            <w:r w:rsidRPr="00C27D13">
              <w:rPr>
                <w:rFonts w:ascii="Arial" w:hAnsi="Arial" w:cs="Arial"/>
              </w:rPr>
              <w:t>more options</w:t>
            </w:r>
          </w:p>
        </w:tc>
        <w:tc>
          <w:tcPr>
            <w:tcW w:w="5280" w:type="dxa"/>
          </w:tcPr>
          <w:p w:rsidR="005D6657" w:rsidRPr="00EB7CF3" w:rsidRDefault="005D6657" w:rsidP="00C575C7">
            <w:pPr>
              <w:pStyle w:val="ListParagraph"/>
              <w:ind w:left="0"/>
              <w:cnfStyle w:val="000000000000"/>
              <w:rPr>
                <w:rFonts w:ascii="Arial" w:hAnsi="Arial" w:cs="Arial"/>
              </w:rPr>
            </w:pPr>
          </w:p>
        </w:tc>
      </w:tr>
      <w:tr w:rsidR="005D6657" w:rsidRPr="00EB7CF3" w:rsidTr="005D6657">
        <w:trPr>
          <w:cantSplit/>
          <w:trHeight w:val="265"/>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Enter any specific instructions into the box</w:t>
            </w:r>
          </w:p>
        </w:tc>
        <w:tc>
          <w:tcPr>
            <w:tcW w:w="5280" w:type="dxa"/>
          </w:tcPr>
          <w:p w:rsidR="005D6657" w:rsidRPr="00EB7CF3" w:rsidRDefault="005D6657" w:rsidP="00C575C7">
            <w:pPr>
              <w:pStyle w:val="ListParagraph"/>
              <w:ind w:left="0"/>
              <w:cnfStyle w:val="000000000000"/>
              <w:rPr>
                <w:rFonts w:ascii="Arial" w:hAnsi="Arial" w:cs="Arial"/>
              </w:rPr>
            </w:pPr>
          </w:p>
        </w:tc>
      </w:tr>
      <w:tr w:rsidR="005D6657" w:rsidRPr="00EB7CF3" w:rsidTr="005D6657">
        <w:trPr>
          <w:cantSplit/>
          <w:trHeight w:val="394"/>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Select </w:t>
            </w:r>
            <w:r w:rsidRPr="00C27D13">
              <w:rPr>
                <w:rFonts w:ascii="Arial" w:hAnsi="Arial" w:cs="Arial"/>
              </w:rPr>
              <w:t>yes</w:t>
            </w:r>
            <w:r w:rsidRPr="00C27D13">
              <w:rPr>
                <w:rFonts w:ascii="Arial" w:hAnsi="Arial" w:cs="Arial"/>
                <w:b w:val="0"/>
              </w:rPr>
              <w:t xml:space="preserve"> for “Generate Originality Reports for submissions?”</w:t>
            </w:r>
          </w:p>
        </w:tc>
        <w:tc>
          <w:tcPr>
            <w:tcW w:w="5280" w:type="dxa"/>
          </w:tcPr>
          <w:p w:rsidR="005D6657" w:rsidRPr="00EB7CF3" w:rsidRDefault="005D6657" w:rsidP="00C575C7">
            <w:pPr>
              <w:pStyle w:val="ListParagraph"/>
              <w:ind w:left="0"/>
              <w:cnfStyle w:val="000000000000"/>
              <w:rPr>
                <w:rFonts w:ascii="Arial" w:hAnsi="Arial" w:cs="Arial"/>
              </w:rPr>
            </w:pPr>
            <w:r>
              <w:rPr>
                <w:rFonts w:ascii="Arial" w:hAnsi="Arial" w:cs="Arial"/>
              </w:rPr>
              <w:t>This allows you see the analysis report of matching text for all submissions for this assignment</w:t>
            </w:r>
          </w:p>
        </w:tc>
      </w:tr>
      <w:tr w:rsidR="005D6657" w:rsidRPr="00EB7CF3" w:rsidTr="005D6657">
        <w:trPr>
          <w:cantSplit/>
          <w:trHeight w:val="2397"/>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Choose </w:t>
            </w:r>
            <w:r w:rsidRPr="00C27D13">
              <w:rPr>
                <w:rFonts w:ascii="Arial" w:hAnsi="Arial" w:cs="Arial"/>
              </w:rPr>
              <w:t>immediately (can overwrite reports until due date)</w:t>
            </w:r>
            <w:r w:rsidRPr="00C27D13">
              <w:rPr>
                <w:rFonts w:ascii="Arial" w:hAnsi="Arial" w:cs="Arial"/>
                <w:b w:val="0"/>
              </w:rPr>
              <w:t xml:space="preserve"> for “Generate Originality Reports for student submissions”</w:t>
            </w:r>
          </w:p>
        </w:tc>
        <w:tc>
          <w:tcPr>
            <w:tcW w:w="5280" w:type="dxa"/>
          </w:tcPr>
          <w:p w:rsidR="005D6657" w:rsidRPr="00EB7CF3" w:rsidRDefault="005D6657" w:rsidP="00C575C7">
            <w:pPr>
              <w:pStyle w:val="ListParagraph"/>
              <w:ind w:left="0"/>
              <w:cnfStyle w:val="000000000000"/>
              <w:rPr>
                <w:rFonts w:ascii="Arial" w:hAnsi="Arial" w:cs="Arial"/>
              </w:rPr>
            </w:pPr>
            <w:r>
              <w:rPr>
                <w:rFonts w:ascii="Arial" w:hAnsi="Arial" w:cs="Arial"/>
              </w:rPr>
              <w:t>This allows students the freedom to re-submit their work as many times as they like up until the deadline. (Please make sure they aware that it may take up to 24 hours for the reports to be available for them to view)</w:t>
            </w:r>
          </w:p>
        </w:tc>
      </w:tr>
      <w:tr w:rsidR="005D6657" w:rsidRPr="00EB7CF3" w:rsidTr="005D6657">
        <w:trPr>
          <w:cantSplit/>
          <w:trHeight w:val="733"/>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Choose </w:t>
            </w:r>
            <w:r w:rsidRPr="00C27D13">
              <w:rPr>
                <w:rFonts w:ascii="Arial" w:hAnsi="Arial" w:cs="Arial"/>
              </w:rPr>
              <w:t>yes</w:t>
            </w:r>
            <w:r w:rsidRPr="00C27D13">
              <w:rPr>
                <w:rFonts w:ascii="Arial" w:hAnsi="Arial" w:cs="Arial"/>
                <w:b w:val="0"/>
              </w:rPr>
              <w:t xml:space="preserve"> for “Exclude bibliographic materials....”</w:t>
            </w:r>
          </w:p>
        </w:tc>
        <w:tc>
          <w:tcPr>
            <w:tcW w:w="5280" w:type="dxa"/>
          </w:tcPr>
          <w:p w:rsidR="005D6657" w:rsidRPr="00843E65" w:rsidRDefault="005D6657" w:rsidP="00C575C7">
            <w:pPr>
              <w:pStyle w:val="ListParagraph"/>
              <w:ind w:left="0"/>
              <w:cnfStyle w:val="000000000000"/>
              <w:rPr>
                <w:rFonts w:ascii="Arial" w:hAnsi="Arial" w:cs="Arial"/>
              </w:rPr>
            </w:pPr>
            <w:r>
              <w:rPr>
                <w:rFonts w:ascii="Arial" w:hAnsi="Arial" w:cs="Arial"/>
              </w:rPr>
              <w:t>This will minimise legitimate text matches in the report (</w:t>
            </w:r>
            <w:r>
              <w:rPr>
                <w:rFonts w:ascii="Arial" w:hAnsi="Arial" w:cs="Arial"/>
                <w:b/>
              </w:rPr>
              <w:t xml:space="preserve">note: </w:t>
            </w:r>
            <w:r>
              <w:rPr>
                <w:rFonts w:ascii="Arial" w:hAnsi="Arial" w:cs="Arial"/>
              </w:rPr>
              <w:t xml:space="preserve">if you would like to include these types of matches choose </w:t>
            </w:r>
            <w:r>
              <w:rPr>
                <w:rFonts w:ascii="Arial" w:hAnsi="Arial" w:cs="Arial"/>
                <w:b/>
              </w:rPr>
              <w:t>no</w:t>
            </w:r>
            <w:r>
              <w:rPr>
                <w:rFonts w:ascii="Arial" w:hAnsi="Arial" w:cs="Arial"/>
              </w:rPr>
              <w:t xml:space="preserve"> as this option cannot be changed once the submission area has been created)</w:t>
            </w:r>
          </w:p>
        </w:tc>
      </w:tr>
      <w:tr w:rsidR="005D6657" w:rsidRPr="00EB7CF3" w:rsidTr="005D6657">
        <w:trPr>
          <w:cantSplit/>
          <w:trHeight w:val="648"/>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Choose </w:t>
            </w:r>
            <w:r w:rsidRPr="00C27D13">
              <w:rPr>
                <w:rFonts w:ascii="Arial" w:hAnsi="Arial" w:cs="Arial"/>
              </w:rPr>
              <w:t>yes</w:t>
            </w:r>
            <w:r w:rsidRPr="00C27D13">
              <w:rPr>
                <w:rFonts w:ascii="Arial" w:hAnsi="Arial" w:cs="Arial"/>
                <w:b w:val="0"/>
              </w:rPr>
              <w:t xml:space="preserve"> for “Exclude quoted materials...”</w:t>
            </w:r>
          </w:p>
        </w:tc>
        <w:tc>
          <w:tcPr>
            <w:tcW w:w="5280" w:type="dxa"/>
          </w:tcPr>
          <w:p w:rsidR="005D6657" w:rsidRPr="00EB7CF3" w:rsidRDefault="005D6657" w:rsidP="00C575C7">
            <w:pPr>
              <w:pStyle w:val="ListParagraph"/>
              <w:ind w:left="0"/>
              <w:cnfStyle w:val="000000000000"/>
              <w:rPr>
                <w:rFonts w:ascii="Arial" w:hAnsi="Arial" w:cs="Arial"/>
              </w:rPr>
            </w:pPr>
            <w:r>
              <w:rPr>
                <w:rFonts w:ascii="Arial" w:hAnsi="Arial" w:cs="Arial"/>
              </w:rPr>
              <w:t>This will minimise legitimate text matches in the report (</w:t>
            </w:r>
            <w:r>
              <w:rPr>
                <w:rFonts w:ascii="Arial" w:hAnsi="Arial" w:cs="Arial"/>
                <w:b/>
              </w:rPr>
              <w:t xml:space="preserve">note: </w:t>
            </w:r>
            <w:r>
              <w:rPr>
                <w:rFonts w:ascii="Arial" w:hAnsi="Arial" w:cs="Arial"/>
              </w:rPr>
              <w:t xml:space="preserve">if you would like to include these types of matches choose </w:t>
            </w:r>
            <w:r>
              <w:rPr>
                <w:rFonts w:ascii="Arial" w:hAnsi="Arial" w:cs="Arial"/>
                <w:b/>
              </w:rPr>
              <w:t>no</w:t>
            </w:r>
            <w:r>
              <w:rPr>
                <w:rFonts w:ascii="Arial" w:hAnsi="Arial" w:cs="Arial"/>
              </w:rPr>
              <w:t xml:space="preserve"> as this option cannot be changed once the submission area has been created)</w:t>
            </w:r>
          </w:p>
        </w:tc>
      </w:tr>
      <w:tr w:rsidR="005D6657" w:rsidRPr="00EB7CF3" w:rsidTr="005D6657">
        <w:trPr>
          <w:cantSplit/>
          <w:trHeight w:val="1509"/>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Choose </w:t>
            </w:r>
            <w:r w:rsidRPr="00C27D13">
              <w:rPr>
                <w:rFonts w:ascii="Arial" w:hAnsi="Arial" w:cs="Arial"/>
              </w:rPr>
              <w:t>yes</w:t>
            </w:r>
            <w:r w:rsidRPr="00C27D13">
              <w:rPr>
                <w:rFonts w:ascii="Arial" w:hAnsi="Arial" w:cs="Arial"/>
                <w:b w:val="0"/>
              </w:rPr>
              <w:t xml:space="preserve"> for “Exclude small matches?”</w:t>
            </w:r>
          </w:p>
        </w:tc>
        <w:tc>
          <w:tcPr>
            <w:tcW w:w="5280" w:type="dxa"/>
          </w:tcPr>
          <w:p w:rsidR="005D6657" w:rsidRPr="00EB7CF3" w:rsidRDefault="005D6657" w:rsidP="00C575C7">
            <w:pPr>
              <w:pStyle w:val="ListParagraph"/>
              <w:ind w:left="0"/>
              <w:cnfStyle w:val="000000000000"/>
              <w:rPr>
                <w:rFonts w:ascii="Arial" w:hAnsi="Arial" w:cs="Arial"/>
              </w:rPr>
            </w:pPr>
            <w:r>
              <w:rPr>
                <w:rFonts w:ascii="Arial" w:hAnsi="Arial" w:cs="Arial"/>
              </w:rPr>
              <w:t>This will minimise the amount of general sentence (e.g. “This is an example of”) text matches. (</w:t>
            </w:r>
            <w:r>
              <w:rPr>
                <w:rFonts w:ascii="Arial" w:hAnsi="Arial" w:cs="Arial"/>
                <w:b/>
              </w:rPr>
              <w:t xml:space="preserve">note: </w:t>
            </w:r>
            <w:r>
              <w:rPr>
                <w:rFonts w:ascii="Arial" w:hAnsi="Arial" w:cs="Arial"/>
              </w:rPr>
              <w:t xml:space="preserve">if you would like to include these types of matches choose </w:t>
            </w:r>
            <w:r>
              <w:rPr>
                <w:rFonts w:ascii="Arial" w:hAnsi="Arial" w:cs="Arial"/>
                <w:b/>
              </w:rPr>
              <w:t>no</w:t>
            </w:r>
            <w:r>
              <w:rPr>
                <w:rFonts w:ascii="Arial" w:hAnsi="Arial" w:cs="Arial"/>
              </w:rPr>
              <w:t xml:space="preserve"> as this option cannot be changed once the submission area has been created)</w:t>
            </w:r>
          </w:p>
        </w:tc>
      </w:tr>
      <w:tr w:rsidR="005D6657" w:rsidRPr="00EB7CF3" w:rsidTr="005D6657">
        <w:trPr>
          <w:cantSplit/>
          <w:trHeight w:val="394"/>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Specify the criteria for matching text to exclude from the analysis.</w:t>
            </w:r>
          </w:p>
        </w:tc>
        <w:tc>
          <w:tcPr>
            <w:tcW w:w="5280" w:type="dxa"/>
          </w:tcPr>
          <w:p w:rsidR="005D6657" w:rsidRPr="00EB7CF3" w:rsidRDefault="005D6657" w:rsidP="00C575C7">
            <w:pPr>
              <w:pStyle w:val="ListParagraph"/>
              <w:ind w:left="0"/>
              <w:cnfStyle w:val="000000000000"/>
              <w:rPr>
                <w:rFonts w:ascii="Arial" w:hAnsi="Arial" w:cs="Arial"/>
              </w:rPr>
            </w:pPr>
            <w:r>
              <w:rPr>
                <w:rFonts w:ascii="Arial" w:hAnsi="Arial" w:cs="Arial"/>
              </w:rPr>
              <w:t>Specify the number of words in a string to exclude, or the percentage to ignore (e.g. 2 or 3 %)</w:t>
            </w:r>
          </w:p>
        </w:tc>
      </w:tr>
      <w:tr w:rsidR="005D6657" w:rsidRPr="00EB7CF3" w:rsidTr="005D6657">
        <w:trPr>
          <w:cantSplit/>
          <w:trHeight w:val="394"/>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lastRenderedPageBreak/>
              <w:t xml:space="preserve">Choose </w:t>
            </w:r>
            <w:r w:rsidRPr="009250E5">
              <w:rPr>
                <w:rFonts w:ascii="Arial" w:hAnsi="Arial" w:cs="Arial"/>
              </w:rPr>
              <w:t>yes</w:t>
            </w:r>
            <w:r w:rsidRPr="00C27D13">
              <w:rPr>
                <w:rFonts w:ascii="Arial" w:hAnsi="Arial" w:cs="Arial"/>
                <w:b w:val="0"/>
              </w:rPr>
              <w:t xml:space="preserve"> for “Allow students to see Originality Reports?”</w:t>
            </w:r>
          </w:p>
        </w:tc>
        <w:tc>
          <w:tcPr>
            <w:tcW w:w="5280" w:type="dxa"/>
          </w:tcPr>
          <w:p w:rsidR="005D6657" w:rsidRPr="00EB7CF3" w:rsidRDefault="005D6657" w:rsidP="00C575C7">
            <w:pPr>
              <w:pStyle w:val="ListParagraph"/>
              <w:ind w:left="0"/>
              <w:cnfStyle w:val="000000000000"/>
              <w:rPr>
                <w:rFonts w:ascii="Arial" w:hAnsi="Arial" w:cs="Arial"/>
              </w:rPr>
            </w:pPr>
          </w:p>
        </w:tc>
      </w:tr>
      <w:tr w:rsidR="005D6657" w:rsidRPr="00EB7CF3" w:rsidTr="005D6657">
        <w:trPr>
          <w:cantSplit/>
          <w:trHeight w:val="478"/>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Choose </w:t>
            </w:r>
            <w:r w:rsidRPr="009250E5">
              <w:rPr>
                <w:rFonts w:ascii="Arial" w:hAnsi="Arial" w:cs="Arial"/>
              </w:rPr>
              <w:t>yes</w:t>
            </w:r>
            <w:r w:rsidRPr="00C27D13">
              <w:rPr>
                <w:rFonts w:ascii="Arial" w:hAnsi="Arial" w:cs="Arial"/>
                <w:b w:val="0"/>
              </w:rPr>
              <w:t xml:space="preserve"> for “Allow submission after the due date?”</w:t>
            </w:r>
          </w:p>
        </w:tc>
        <w:tc>
          <w:tcPr>
            <w:tcW w:w="5280" w:type="dxa"/>
          </w:tcPr>
          <w:p w:rsidR="005D6657" w:rsidRPr="006D3C5B" w:rsidRDefault="005D6657" w:rsidP="00C575C7">
            <w:pPr>
              <w:cnfStyle w:val="000000000000"/>
              <w:rPr>
                <w:rFonts w:ascii="Arial" w:hAnsi="Arial" w:cs="Arial"/>
              </w:rPr>
            </w:pPr>
            <w:r>
              <w:rPr>
                <w:rFonts w:ascii="Arial" w:hAnsi="Arial" w:cs="Arial"/>
              </w:rPr>
              <w:t>You will be able to see which assignments were submitted after the due date and time</w:t>
            </w:r>
          </w:p>
        </w:tc>
      </w:tr>
      <w:tr w:rsidR="005D6657" w:rsidRPr="00EB7CF3" w:rsidTr="005D6657">
        <w:trPr>
          <w:cantSplit/>
          <w:trHeight w:val="962"/>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Choose </w:t>
            </w:r>
            <w:r w:rsidRPr="009250E5">
              <w:rPr>
                <w:rFonts w:ascii="Arial" w:hAnsi="Arial" w:cs="Arial"/>
              </w:rPr>
              <w:t>yes</w:t>
            </w:r>
            <w:r w:rsidRPr="00C27D13">
              <w:rPr>
                <w:rFonts w:ascii="Arial" w:hAnsi="Arial" w:cs="Arial"/>
                <w:b w:val="0"/>
              </w:rPr>
              <w:t xml:space="preserve"> for “Reveal grades to students only on post date?”</w:t>
            </w:r>
          </w:p>
        </w:tc>
        <w:tc>
          <w:tcPr>
            <w:tcW w:w="5280" w:type="dxa"/>
          </w:tcPr>
          <w:p w:rsidR="005D6657" w:rsidRPr="006D3C5B" w:rsidRDefault="005D6657" w:rsidP="00C575C7">
            <w:pPr>
              <w:cnfStyle w:val="000000000000"/>
              <w:rPr>
                <w:rFonts w:ascii="Arial" w:hAnsi="Arial" w:cs="Arial"/>
              </w:rPr>
            </w:pPr>
            <w:r>
              <w:rPr>
                <w:rFonts w:ascii="Arial" w:hAnsi="Arial" w:cs="Arial"/>
              </w:rPr>
              <w:t>This will ensure that the feedback and grades are released at the same time for all students</w:t>
            </w:r>
          </w:p>
        </w:tc>
      </w:tr>
      <w:tr w:rsidR="005D6657" w:rsidRPr="00EB7CF3" w:rsidTr="005D6657">
        <w:trPr>
          <w:cantSplit/>
          <w:trHeight w:val="484"/>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Choose </w:t>
            </w:r>
            <w:r w:rsidRPr="009250E5">
              <w:rPr>
                <w:rFonts w:ascii="Arial" w:hAnsi="Arial" w:cs="Arial"/>
              </w:rPr>
              <w:t>standard paper repository</w:t>
            </w:r>
            <w:r w:rsidRPr="00C27D13">
              <w:rPr>
                <w:rFonts w:ascii="Arial" w:hAnsi="Arial" w:cs="Arial"/>
                <w:b w:val="0"/>
              </w:rPr>
              <w:t xml:space="preserve"> for “Submit papers to:”</w:t>
            </w:r>
          </w:p>
        </w:tc>
        <w:tc>
          <w:tcPr>
            <w:tcW w:w="5280" w:type="dxa"/>
          </w:tcPr>
          <w:p w:rsidR="005D6657" w:rsidRPr="006D3C5B" w:rsidRDefault="005D6657" w:rsidP="00C575C7">
            <w:pPr>
              <w:cnfStyle w:val="000000000000"/>
              <w:rPr>
                <w:rFonts w:ascii="Arial" w:hAnsi="Arial" w:cs="Arial"/>
              </w:rPr>
            </w:pPr>
            <w:r>
              <w:rPr>
                <w:rFonts w:ascii="Arial" w:hAnsi="Arial" w:cs="Arial"/>
              </w:rPr>
              <w:t xml:space="preserve">This will enter the paper into the </w:t>
            </w:r>
            <w:proofErr w:type="spellStart"/>
            <w:r>
              <w:rPr>
                <w:rFonts w:ascii="Arial" w:hAnsi="Arial" w:cs="Arial"/>
              </w:rPr>
              <w:t>TurnitinUK</w:t>
            </w:r>
            <w:proofErr w:type="spellEnd"/>
            <w:r>
              <w:rPr>
                <w:rFonts w:ascii="Arial" w:hAnsi="Arial" w:cs="Arial"/>
              </w:rPr>
              <w:t xml:space="preserve"> repository and therefore be available to future submissions to be checked against</w:t>
            </w:r>
          </w:p>
        </w:tc>
      </w:tr>
      <w:tr w:rsidR="005D6657" w:rsidRPr="00EB7CF3" w:rsidTr="005D6657">
        <w:trPr>
          <w:cantSplit/>
          <w:trHeight w:val="349"/>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Tick all 3 boxes under “Search options:”</w:t>
            </w:r>
          </w:p>
        </w:tc>
        <w:tc>
          <w:tcPr>
            <w:tcW w:w="5280" w:type="dxa"/>
          </w:tcPr>
          <w:p w:rsidR="005D6657" w:rsidRPr="006D3C5B" w:rsidRDefault="005D6657" w:rsidP="00C575C7">
            <w:pPr>
              <w:cnfStyle w:val="000000000000"/>
              <w:rPr>
                <w:rFonts w:ascii="Arial" w:hAnsi="Arial" w:cs="Arial"/>
              </w:rPr>
            </w:pPr>
          </w:p>
        </w:tc>
      </w:tr>
      <w:tr w:rsidR="005D6657" w:rsidRPr="00EB7CF3" w:rsidTr="005D6657">
        <w:trPr>
          <w:cantSplit/>
          <w:trHeight w:val="308"/>
        </w:trPr>
        <w:tc>
          <w:tcPr>
            <w:cnfStyle w:val="001000000000"/>
            <w:tcW w:w="3963" w:type="dxa"/>
            <w:tcBorders>
              <w:right w:val="none" w:sz="0" w:space="0" w:color="auto"/>
            </w:tcBorders>
          </w:tcPr>
          <w:p w:rsidR="005D6657" w:rsidRPr="00C27D13" w:rsidRDefault="005D6657" w:rsidP="005D6657">
            <w:pPr>
              <w:pStyle w:val="ListParagraph"/>
              <w:numPr>
                <w:ilvl w:val="0"/>
                <w:numId w:val="5"/>
              </w:numPr>
              <w:ind w:hanging="578"/>
              <w:rPr>
                <w:rFonts w:ascii="Arial" w:hAnsi="Arial" w:cs="Arial"/>
                <w:b w:val="0"/>
              </w:rPr>
            </w:pPr>
            <w:r w:rsidRPr="00C27D13">
              <w:rPr>
                <w:rFonts w:ascii="Arial" w:hAnsi="Arial" w:cs="Arial"/>
                <w:b w:val="0"/>
              </w:rPr>
              <w:t xml:space="preserve">If this is the first time you have set up a Turnitin assignment you will be asked if you would like to save the choices you have made. Select </w:t>
            </w:r>
            <w:r w:rsidRPr="009250E5">
              <w:rPr>
                <w:rFonts w:ascii="Arial" w:hAnsi="Arial" w:cs="Arial"/>
              </w:rPr>
              <w:t>yes</w:t>
            </w:r>
            <w:r w:rsidRPr="00C27D13">
              <w:rPr>
                <w:rFonts w:ascii="Arial" w:hAnsi="Arial" w:cs="Arial"/>
                <w:b w:val="0"/>
              </w:rPr>
              <w:t>.</w:t>
            </w:r>
          </w:p>
        </w:tc>
        <w:tc>
          <w:tcPr>
            <w:tcW w:w="5280" w:type="dxa"/>
          </w:tcPr>
          <w:p w:rsidR="005D6657" w:rsidRPr="005D6657" w:rsidRDefault="005D6657" w:rsidP="00C575C7">
            <w:pPr>
              <w:cnfStyle w:val="000000000000"/>
              <w:rPr>
                <w:rFonts w:ascii="Arial" w:hAnsi="Arial" w:cs="Arial"/>
              </w:rPr>
            </w:pPr>
            <w:r>
              <w:rPr>
                <w:rFonts w:ascii="Arial" w:hAnsi="Arial" w:cs="Arial"/>
              </w:rPr>
              <w:t xml:space="preserve">If you do not see this option it is because you have already saved your settings. Simply click </w:t>
            </w:r>
            <w:r>
              <w:rPr>
                <w:rFonts w:ascii="Arial" w:hAnsi="Arial" w:cs="Arial"/>
                <w:b/>
              </w:rPr>
              <w:t>Submit</w:t>
            </w:r>
            <w:r>
              <w:rPr>
                <w:rFonts w:ascii="Arial" w:hAnsi="Arial" w:cs="Arial"/>
              </w:rPr>
              <w:t xml:space="preserve"> to set up the assignment submission link</w:t>
            </w:r>
          </w:p>
        </w:tc>
      </w:tr>
    </w:tbl>
    <w:p w:rsidR="00680774" w:rsidRDefault="00680774"/>
    <w:sectPr w:rsidR="00680774" w:rsidSect="00C44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330112"/>
    <w:multiLevelType w:val="hybridMultilevel"/>
    <w:tmpl w:val="92646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stylePaneFormatFilter w:val="3001"/>
  <w:revisionView w:markup="0"/>
  <w:defaultTabStop w:val="720"/>
  <w:characterSpacingControl w:val="doNotCompress"/>
  <w:compat/>
  <w:rsids>
    <w:rsidRoot w:val="005D6657"/>
    <w:rsid w:val="000620A0"/>
    <w:rsid w:val="00134303"/>
    <w:rsid w:val="0025755A"/>
    <w:rsid w:val="002D5748"/>
    <w:rsid w:val="00394DB5"/>
    <w:rsid w:val="004354FC"/>
    <w:rsid w:val="004545FF"/>
    <w:rsid w:val="0055386F"/>
    <w:rsid w:val="005D6657"/>
    <w:rsid w:val="00680774"/>
    <w:rsid w:val="007E5BCD"/>
    <w:rsid w:val="00C4329B"/>
    <w:rsid w:val="00C44924"/>
    <w:rsid w:val="00CC4837"/>
    <w:rsid w:val="00DA3930"/>
    <w:rsid w:val="00DA51A7"/>
    <w:rsid w:val="00E41E65"/>
    <w:rsid w:val="00EF0DF5"/>
    <w:rsid w:val="00FA6578"/>
    <w:rsid w:val="00FB45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657"/>
    <w:pPr>
      <w:spacing w:after="200" w:line="276" w:lineRule="auto"/>
    </w:pPr>
    <w:rPr>
      <w:rFonts w:ascii="Verdana" w:eastAsiaTheme="minorEastAsia" w:hAnsi="Verdana" w:cstheme="minorBidi"/>
      <w:sz w:val="22"/>
      <w:szCs w:val="22"/>
    </w:rPr>
  </w:style>
  <w:style w:type="paragraph" w:styleId="Heading1">
    <w:name w:val="heading 1"/>
    <w:basedOn w:val="Normal"/>
    <w:next w:val="Normal"/>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customStyle="1" w:styleId="Default">
    <w:name w:val="Default"/>
    <w:rsid w:val="005D665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6657"/>
    <w:pPr>
      <w:ind w:left="720"/>
      <w:contextualSpacing/>
    </w:pPr>
  </w:style>
  <w:style w:type="table" w:styleId="TableSimple2">
    <w:name w:val="Table Simple 2"/>
    <w:basedOn w:val="TableNormal"/>
    <w:rsid w:val="005D6657"/>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rsid w:val="005D6657"/>
    <w:rPr>
      <w:color w:val="0000FF" w:themeColor="hyperlink"/>
      <w:u w:val="single"/>
    </w:rPr>
  </w:style>
  <w:style w:type="paragraph" w:styleId="BalloonText">
    <w:name w:val="Balloon Text"/>
    <w:basedOn w:val="Normal"/>
    <w:link w:val="BalloonTextChar"/>
    <w:rsid w:val="005D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D665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ile.northampton.ac.uk:80/bbcswebdav/xid-65931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795</Words>
  <Characters>3373</Characters>
  <Application>Microsoft Office Word</Application>
  <DocSecurity>0</DocSecurity>
  <Lines>112</Lines>
  <Paragraphs>37</Paragraphs>
  <ScaleCrop>false</ScaleCrop>
  <Company>University of Northampton</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2011-05-26T13:06:00Z</dcterms:created>
  <dcterms:modified xsi:type="dcterms:W3CDTF">2011-05-26T13:33:00Z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1VAXC2D6ASYwHHrBOqjTzwM-OfBgp15cV3UKCmm9k6iY</vt:lpwstr>
  </property>
  <property fmtid="{D5CDD505-2E9C-101B-9397-08002B2CF9AE}" pid="4" name="Google.Documents.RevisionId">
    <vt:lpwstr>09680098615479031200</vt:lpwstr>
  </property>
  <property fmtid="{D5CDD505-2E9C-101B-9397-08002B2CF9AE}" pid="5" name="Google.Documents.PreviousRevisionId">
    <vt:lpwstr>01604772131373749361</vt:lpwstr>
  </property>
  <property fmtid="{D5CDD505-2E9C-101B-9397-08002B2CF9AE}" pid="6" name="Google.Documents.PluginVersion">
    <vt:lpwstr>2.0.2026.3768</vt:lpwstr>
  </property>
  <property fmtid="{D5CDD505-2E9C-101B-9397-08002B2CF9AE}" pid="7" name="Google.Documents.MergeIncapabilityFlags">
    <vt:i4>0</vt:i4>
  </property>
</Properties>
</file>